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774D9" w14:textId="119495BA" w:rsidR="00005C1D" w:rsidRPr="00D74722" w:rsidRDefault="00D74722" w:rsidP="00E05355">
      <w:pPr>
        <w:pStyle w:val="Overskrift1"/>
        <w:spacing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>Politik</w:t>
      </w:r>
      <w:r w:rsidRPr="00D74722">
        <w:rPr>
          <w:b/>
          <w:color w:val="000000" w:themeColor="text1"/>
        </w:rPr>
        <w:t xml:space="preserve"> </w:t>
      </w:r>
      <w:r w:rsidR="00005C1D" w:rsidRPr="00D74722">
        <w:rPr>
          <w:b/>
          <w:color w:val="000000" w:themeColor="text1"/>
        </w:rPr>
        <w:t xml:space="preserve">for </w:t>
      </w:r>
      <w:r w:rsidR="00681E8D" w:rsidRPr="00D74722">
        <w:rPr>
          <w:b/>
          <w:color w:val="000000" w:themeColor="text1"/>
        </w:rPr>
        <w:t>behandling og beskyttelse af personoplysninger</w:t>
      </w:r>
    </w:p>
    <w:p w14:paraId="63DA8152" w14:textId="77777777" w:rsidR="00005C1D" w:rsidRPr="00005C1D" w:rsidRDefault="00005C1D" w:rsidP="00E05355">
      <w:pPr>
        <w:spacing w:line="276" w:lineRule="auto"/>
      </w:pPr>
    </w:p>
    <w:p w14:paraId="50A0147C" w14:textId="0F00E34B" w:rsidR="007B7B54" w:rsidRDefault="00D74722" w:rsidP="00E05355">
      <w:pPr>
        <w:spacing w:line="276" w:lineRule="auto"/>
      </w:pPr>
      <w:r>
        <w:t xml:space="preserve">Databeskyttelsespolitikken </w:t>
      </w:r>
      <w:r w:rsidR="00902F95">
        <w:t xml:space="preserve">gælder for </w:t>
      </w:r>
      <w:r w:rsidR="00A160DD" w:rsidRPr="00A160DD">
        <w:t>Krudthuset</w:t>
      </w:r>
      <w:r w:rsidR="00C43911">
        <w:t>, Fredensbovej 18A, 2680 Solrød Strand</w:t>
      </w:r>
      <w:r w:rsidR="00902F95">
        <w:t>.</w:t>
      </w:r>
    </w:p>
    <w:p w14:paraId="283EAFE4" w14:textId="7E6793E4" w:rsidR="00681E8D" w:rsidRDefault="00D74722" w:rsidP="00E05355">
      <w:pPr>
        <w:spacing w:line="276" w:lineRule="auto"/>
      </w:pPr>
      <w:r>
        <w:t xml:space="preserve">Politikken </w:t>
      </w:r>
      <w:r w:rsidR="00F2339B">
        <w:t>skal hjælpe til at sikre</w:t>
      </w:r>
      <w:r w:rsidR="008A5578">
        <w:t xml:space="preserve"> og dokumentere</w:t>
      </w:r>
      <w:r w:rsidR="00F2339B">
        <w:t xml:space="preserve">, at </w:t>
      </w:r>
      <w:r w:rsidR="00E07351">
        <w:t>institutionen</w:t>
      </w:r>
      <w:r w:rsidR="00F2339B">
        <w:t xml:space="preserve"> </w:t>
      </w:r>
      <w:r w:rsidR="00681E8D">
        <w:t xml:space="preserve">beskytter sine personoplysninger i overensstemmelse med </w:t>
      </w:r>
      <w:r w:rsidR="00F2339B">
        <w:t xml:space="preserve">reglerne for behandling af personoplysninger. </w:t>
      </w:r>
      <w:r>
        <w:t xml:space="preserve">Politikken </w:t>
      </w:r>
      <w:r w:rsidR="00105788">
        <w:t>bidrager desuden til</w:t>
      </w:r>
      <w:r w:rsidR="000D02F8">
        <w:t xml:space="preserve">, at </w:t>
      </w:r>
      <w:r w:rsidR="00E07351">
        <w:t>institutionen</w:t>
      </w:r>
      <w:r w:rsidR="000D02F8">
        <w:t xml:space="preserve"> oplyser om </w:t>
      </w:r>
      <w:r w:rsidR="00681E8D">
        <w:t xml:space="preserve">behandlingen og brugen af de registrerede </w:t>
      </w:r>
      <w:r w:rsidR="001A41CD">
        <w:t xml:space="preserve">personoplysninger. </w:t>
      </w:r>
    </w:p>
    <w:p w14:paraId="07EE8550" w14:textId="44F44A1F" w:rsidR="00681E8D" w:rsidRDefault="00D74722" w:rsidP="00E05355">
      <w:pPr>
        <w:spacing w:line="276" w:lineRule="auto"/>
      </w:pPr>
      <w:r>
        <w:t xml:space="preserve">Politikken </w:t>
      </w:r>
      <w:r w:rsidR="005123BE">
        <w:t>gennemgås hvert år.</w:t>
      </w:r>
    </w:p>
    <w:p w14:paraId="647D0C7A" w14:textId="77777777" w:rsidR="00902F95" w:rsidRDefault="005123BE" w:rsidP="00E05355">
      <w:pPr>
        <w:spacing w:line="276" w:lineRule="auto"/>
      </w:pPr>
      <w:r>
        <w:t xml:space="preserve"> </w:t>
      </w:r>
    </w:p>
    <w:p w14:paraId="2C5489ED" w14:textId="77777777" w:rsidR="00681E8D" w:rsidRPr="00D74722" w:rsidRDefault="00681E8D" w:rsidP="00E05355">
      <w:pPr>
        <w:spacing w:line="276" w:lineRule="auto"/>
        <w:rPr>
          <w:b/>
        </w:rPr>
      </w:pPr>
      <w:r>
        <w:rPr>
          <w:b/>
        </w:rPr>
        <w:t>Fortegnelse over behandlingen af personoplysninger</w:t>
      </w:r>
    </w:p>
    <w:p w14:paraId="1415D0E7" w14:textId="6174572B" w:rsidR="00902F95" w:rsidRDefault="00E07351" w:rsidP="00E05355">
      <w:pPr>
        <w:spacing w:line="276" w:lineRule="auto"/>
      </w:pPr>
      <w:r>
        <w:t>Institutionen</w:t>
      </w:r>
      <w:r w:rsidR="00921201">
        <w:t xml:space="preserve"> behandler personoplysninger om:</w:t>
      </w:r>
    </w:p>
    <w:p w14:paraId="23FBEA3D" w14:textId="77777777" w:rsidR="00921201" w:rsidRDefault="00921201" w:rsidP="00D74722">
      <w:pPr>
        <w:pStyle w:val="Listeafsnit"/>
        <w:numPr>
          <w:ilvl w:val="0"/>
          <w:numId w:val="8"/>
        </w:numPr>
        <w:spacing w:line="276" w:lineRule="auto"/>
      </w:pPr>
      <w:r>
        <w:t>Medarbejdere</w:t>
      </w:r>
    </w:p>
    <w:p w14:paraId="30569BAB" w14:textId="35DB6AB3" w:rsidR="00E07351" w:rsidRDefault="00E07351" w:rsidP="00D74722">
      <w:pPr>
        <w:pStyle w:val="Listeafsnit"/>
        <w:numPr>
          <w:ilvl w:val="0"/>
          <w:numId w:val="8"/>
        </w:numPr>
        <w:spacing w:line="276" w:lineRule="auto"/>
      </w:pPr>
      <w:r>
        <w:t>Børn</w:t>
      </w:r>
    </w:p>
    <w:p w14:paraId="059EBD93" w14:textId="3D9914A4" w:rsidR="00E07351" w:rsidRDefault="00E07351" w:rsidP="00D74722">
      <w:pPr>
        <w:pStyle w:val="Listeafsnit"/>
        <w:numPr>
          <w:ilvl w:val="0"/>
          <w:numId w:val="8"/>
        </w:numPr>
        <w:spacing w:line="276" w:lineRule="auto"/>
      </w:pPr>
      <w:r>
        <w:t>Forældre</w:t>
      </w:r>
    </w:p>
    <w:p w14:paraId="1255E21B" w14:textId="77777777" w:rsidR="00921201" w:rsidRDefault="00921201" w:rsidP="00D74722">
      <w:pPr>
        <w:pStyle w:val="Listeafsnit"/>
        <w:numPr>
          <w:ilvl w:val="0"/>
          <w:numId w:val="8"/>
        </w:numPr>
        <w:spacing w:line="276" w:lineRule="auto"/>
      </w:pPr>
      <w:r>
        <w:t xml:space="preserve">Kunder </w:t>
      </w:r>
    </w:p>
    <w:p w14:paraId="03CFE547" w14:textId="77777777" w:rsidR="00921201" w:rsidRDefault="00921201" w:rsidP="00D74722">
      <w:pPr>
        <w:pStyle w:val="Listeafsnit"/>
        <w:numPr>
          <w:ilvl w:val="0"/>
          <w:numId w:val="8"/>
        </w:numPr>
        <w:spacing w:line="276" w:lineRule="auto"/>
      </w:pPr>
      <w:r>
        <w:t>Leverandører</w:t>
      </w:r>
    </w:p>
    <w:p w14:paraId="599B827F" w14:textId="01EB547B" w:rsidR="005123BE" w:rsidRDefault="00E07351" w:rsidP="00E05355">
      <w:pPr>
        <w:spacing w:line="276" w:lineRule="auto"/>
      </w:pPr>
      <w:r>
        <w:t>Institutionen</w:t>
      </w:r>
      <w:r w:rsidR="00F22140">
        <w:t xml:space="preserve"> har udarbejdet en fortegnelse over </w:t>
      </w:r>
      <w:r w:rsidR="00681E8D">
        <w:t>behandlingen af</w:t>
      </w:r>
      <w:r w:rsidR="00F22140">
        <w:t xml:space="preserve"> personoplysninger. Fortegnelsen giver overblik over de behandlinger, som </w:t>
      </w:r>
      <w:r>
        <w:t>institutionen</w:t>
      </w:r>
      <w:r w:rsidR="00F22140">
        <w:t xml:space="preserve"> er ansvarlig for. </w:t>
      </w:r>
    </w:p>
    <w:p w14:paraId="3C01D65A" w14:textId="7F56E325" w:rsidR="0023192B" w:rsidRDefault="0023192B" w:rsidP="00E05355">
      <w:pPr>
        <w:spacing w:line="276" w:lineRule="auto"/>
      </w:pPr>
      <w:r>
        <w:t xml:space="preserve">Personoplysningerne er en forudsætning for, at </w:t>
      </w:r>
      <w:r w:rsidR="00E07351">
        <w:t>Institutionen</w:t>
      </w:r>
      <w:r>
        <w:t xml:space="preserve"> kan indgå ansættelses-, kunde- og leverandørkontrakter. </w:t>
      </w:r>
    </w:p>
    <w:p w14:paraId="3DEA3AB2" w14:textId="77777777" w:rsidR="00681E8D" w:rsidRDefault="00681E8D" w:rsidP="00E05355">
      <w:pPr>
        <w:spacing w:line="276" w:lineRule="auto"/>
      </w:pPr>
    </w:p>
    <w:p w14:paraId="5DDAA278" w14:textId="77777777" w:rsidR="00BA4A6E" w:rsidRPr="00BA4A6E" w:rsidRDefault="00CF1A43" w:rsidP="00E05355">
      <w:pPr>
        <w:spacing w:line="276" w:lineRule="auto"/>
        <w:rPr>
          <w:b/>
        </w:rPr>
      </w:pPr>
      <w:r>
        <w:rPr>
          <w:b/>
        </w:rPr>
        <w:t>Behandlingens f</w:t>
      </w:r>
      <w:r w:rsidR="00BA4A6E">
        <w:rPr>
          <w:b/>
        </w:rPr>
        <w:t xml:space="preserve">ormål </w:t>
      </w:r>
      <w:r w:rsidR="0012015B">
        <w:rPr>
          <w:b/>
        </w:rPr>
        <w:t>og lovlighed</w:t>
      </w:r>
    </w:p>
    <w:p w14:paraId="2797AD56" w14:textId="39C1F690" w:rsidR="000C4555" w:rsidRDefault="000C4555" w:rsidP="00E05355">
      <w:pPr>
        <w:spacing w:line="276" w:lineRule="auto"/>
      </w:pPr>
      <w:r>
        <w:t xml:space="preserve">Personoplysningerne </w:t>
      </w:r>
      <w:r w:rsidR="00681E8D">
        <w:t xml:space="preserve">behandles og arkiveres </w:t>
      </w:r>
      <w:r w:rsidR="00F4753D">
        <w:t>i forbindelse med</w:t>
      </w:r>
      <w:r>
        <w:t xml:space="preserve">: </w:t>
      </w:r>
    </w:p>
    <w:p w14:paraId="00E18A9F" w14:textId="611CD1C5" w:rsidR="00982967" w:rsidRDefault="000C4555" w:rsidP="00E05355">
      <w:pPr>
        <w:pStyle w:val="Listeafsnit"/>
        <w:numPr>
          <w:ilvl w:val="0"/>
          <w:numId w:val="8"/>
        </w:numPr>
        <w:spacing w:line="276" w:lineRule="auto"/>
      </w:pPr>
      <w:r>
        <w:t>Personaleadministration</w:t>
      </w:r>
      <w:r w:rsidR="00F4753D">
        <w:t>,</w:t>
      </w:r>
      <w:r>
        <w:t xml:space="preserve"> </w:t>
      </w:r>
      <w:r w:rsidR="00F4753D">
        <w:t xml:space="preserve">herunder rekruttering, </w:t>
      </w:r>
      <w:r>
        <w:t>ansættelse</w:t>
      </w:r>
      <w:r w:rsidR="00F4753D">
        <w:t>, fratrædelse</w:t>
      </w:r>
      <w:r>
        <w:t xml:space="preserve"> og udbetaling af løn</w:t>
      </w:r>
    </w:p>
    <w:p w14:paraId="678FA916" w14:textId="4753BF50" w:rsidR="000C4555" w:rsidRDefault="00F4753D" w:rsidP="00E05355">
      <w:pPr>
        <w:pStyle w:val="Listeafsnit"/>
        <w:numPr>
          <w:ilvl w:val="0"/>
          <w:numId w:val="8"/>
        </w:numPr>
        <w:spacing w:line="276" w:lineRule="auto"/>
      </w:pPr>
      <w:r>
        <w:t>Stamdata for</w:t>
      </w:r>
      <w:r w:rsidR="00E07351">
        <w:t xml:space="preserve"> børn, herunder indmeldelse og løbende samarbejde</w:t>
      </w:r>
    </w:p>
    <w:p w14:paraId="72DF28E4" w14:textId="7630A1F2" w:rsidR="00E07351" w:rsidRDefault="00E07351" w:rsidP="00E05355">
      <w:pPr>
        <w:pStyle w:val="Listeafsnit"/>
        <w:numPr>
          <w:ilvl w:val="0"/>
          <w:numId w:val="8"/>
        </w:numPr>
        <w:spacing w:line="276" w:lineRule="auto"/>
      </w:pPr>
      <w:r>
        <w:t>Stamdata for forældre</w:t>
      </w:r>
    </w:p>
    <w:p w14:paraId="0D569B18" w14:textId="77777777" w:rsidR="00F4753D" w:rsidRDefault="00F4753D" w:rsidP="00E05355">
      <w:pPr>
        <w:pStyle w:val="Listeafsnit"/>
        <w:numPr>
          <w:ilvl w:val="0"/>
          <w:numId w:val="8"/>
        </w:numPr>
        <w:spacing w:line="276" w:lineRule="auto"/>
      </w:pPr>
      <w:r>
        <w:t>Stamdata for leverandører samt rekvisitioner og køb</w:t>
      </w:r>
    </w:p>
    <w:p w14:paraId="7AD0CD58" w14:textId="77777777" w:rsidR="006F1CCF" w:rsidRDefault="00F4753D" w:rsidP="006F1CCF">
      <w:pPr>
        <w:pStyle w:val="Listeafsnit"/>
        <w:numPr>
          <w:ilvl w:val="0"/>
          <w:numId w:val="8"/>
        </w:numPr>
        <w:spacing w:line="276" w:lineRule="auto"/>
      </w:pPr>
      <w:r>
        <w:t>Kontrakter</w:t>
      </w:r>
    </w:p>
    <w:p w14:paraId="35655473" w14:textId="7533A57C" w:rsidR="00A160DD" w:rsidRDefault="00E07351" w:rsidP="00A160DD">
      <w:pPr>
        <w:pStyle w:val="Listeafsnit"/>
        <w:numPr>
          <w:ilvl w:val="0"/>
          <w:numId w:val="8"/>
        </w:numPr>
        <w:spacing w:line="276" w:lineRule="auto"/>
      </w:pPr>
      <w:r>
        <w:t>Markedsføring af institutionen</w:t>
      </w:r>
    </w:p>
    <w:p w14:paraId="59607E75" w14:textId="16B394A3" w:rsidR="00A160DD" w:rsidRDefault="00A160DD" w:rsidP="00A160DD">
      <w:pPr>
        <w:pStyle w:val="Listeafsnit"/>
        <w:numPr>
          <w:ilvl w:val="0"/>
          <w:numId w:val="8"/>
        </w:numPr>
        <w:spacing w:line="276" w:lineRule="auto"/>
      </w:pPr>
      <w:r>
        <w:t>Dokumentation af det pædagogiske arbejde</w:t>
      </w:r>
    </w:p>
    <w:p w14:paraId="52A89F08" w14:textId="0D3D0138" w:rsidR="00F4753D" w:rsidRPr="00E72B35" w:rsidRDefault="00F6126D" w:rsidP="00E05355">
      <w:pPr>
        <w:tabs>
          <w:tab w:val="left" w:pos="1542"/>
        </w:tabs>
        <w:spacing w:line="276" w:lineRule="auto"/>
      </w:pPr>
      <w:r w:rsidRPr="00E72B35">
        <w:t xml:space="preserve">Behandlingen er lovlig i medfør af </w:t>
      </w:r>
      <w:r w:rsidR="00F4753D">
        <w:t>hjemmel som angivet i vedhæftede fortegnelse.</w:t>
      </w:r>
      <w:r w:rsidRPr="00E72B35">
        <w:t xml:space="preserve"> </w:t>
      </w:r>
    </w:p>
    <w:p w14:paraId="0B0A1618" w14:textId="7E8D5D12" w:rsidR="00E72B35" w:rsidRDefault="00E07351" w:rsidP="00E05355">
      <w:pPr>
        <w:spacing w:line="276" w:lineRule="auto"/>
      </w:pPr>
      <w:r>
        <w:t>Institutionen</w:t>
      </w:r>
      <w:r w:rsidR="00CA60F1">
        <w:t xml:space="preserve"> benytter ikke personoplysningerne til andre formål end de listede.</w:t>
      </w:r>
      <w:r w:rsidR="00E235E1" w:rsidRPr="00E235E1">
        <w:t xml:space="preserve"> </w:t>
      </w:r>
      <w:r>
        <w:t>Institutionen</w:t>
      </w:r>
      <w:r w:rsidR="00E235E1">
        <w:t xml:space="preserve"> indsamler ikke flere personoplysninger end nødvendigt</w:t>
      </w:r>
      <w:r w:rsidR="002F0270">
        <w:t xml:space="preserve"> i forhold til opfyldelse af formålet.</w:t>
      </w:r>
    </w:p>
    <w:p w14:paraId="35235A4D" w14:textId="77777777" w:rsidR="00D12208" w:rsidRDefault="00D12208" w:rsidP="00E05355">
      <w:pPr>
        <w:spacing w:line="276" w:lineRule="auto"/>
        <w:rPr>
          <w:b/>
        </w:rPr>
      </w:pPr>
    </w:p>
    <w:p w14:paraId="125CDC83" w14:textId="7C75BDAE" w:rsidR="00603BC5" w:rsidRPr="00603BC5" w:rsidRDefault="00603BC5" w:rsidP="00E05355">
      <w:pPr>
        <w:spacing w:line="276" w:lineRule="auto"/>
        <w:rPr>
          <w:b/>
        </w:rPr>
      </w:pPr>
      <w:r>
        <w:rPr>
          <w:b/>
        </w:rPr>
        <w:lastRenderedPageBreak/>
        <w:t>Opbevaring og sletning</w:t>
      </w:r>
    </w:p>
    <w:p w14:paraId="0F84597F" w14:textId="5F57F791" w:rsidR="00F4753D" w:rsidRDefault="00E07351" w:rsidP="00D74722">
      <w:pPr>
        <w:spacing w:line="276" w:lineRule="auto"/>
      </w:pPr>
      <w:r>
        <w:t>Institutionen</w:t>
      </w:r>
      <w:r w:rsidR="00F4753D">
        <w:t xml:space="preserve"> har indført følgende overordnede retningslinjer for opbevaring og sletning af personoplysninger:</w:t>
      </w:r>
    </w:p>
    <w:p w14:paraId="636A10B0" w14:textId="4DCD4893" w:rsidR="00F4753D" w:rsidRDefault="006A6808" w:rsidP="00070F00">
      <w:pPr>
        <w:pStyle w:val="Listeafsnit"/>
        <w:numPr>
          <w:ilvl w:val="0"/>
          <w:numId w:val="10"/>
        </w:numPr>
        <w:spacing w:line="276" w:lineRule="auto"/>
      </w:pPr>
      <w:r>
        <w:t>Personoplysninger opbev</w:t>
      </w:r>
      <w:r w:rsidR="008F3477">
        <w:t xml:space="preserve">ares i </w:t>
      </w:r>
      <w:r w:rsidR="00F4753D">
        <w:t xml:space="preserve">fysiske </w:t>
      </w:r>
      <w:r w:rsidR="008F3477">
        <w:t>mapper</w:t>
      </w:r>
      <w:r w:rsidR="009F1C3F">
        <w:t>.</w:t>
      </w:r>
    </w:p>
    <w:p w14:paraId="16C8EB09" w14:textId="43F6BA1B" w:rsidR="00847289" w:rsidRDefault="00F4753D" w:rsidP="00070F00">
      <w:pPr>
        <w:pStyle w:val="Listeafsnit"/>
        <w:numPr>
          <w:ilvl w:val="0"/>
          <w:numId w:val="10"/>
        </w:numPr>
        <w:spacing w:line="276" w:lineRule="auto"/>
      </w:pPr>
      <w:r>
        <w:t>Personoplysninger opbevares i it</w:t>
      </w:r>
      <w:r w:rsidR="008F3477">
        <w:t>-systemer</w:t>
      </w:r>
      <w:r>
        <w:t xml:space="preserve"> og på serverdrev</w:t>
      </w:r>
      <w:r w:rsidR="00847289">
        <w:t>.</w:t>
      </w:r>
      <w:r w:rsidR="00847289" w:rsidDel="00847289">
        <w:t xml:space="preserve"> </w:t>
      </w:r>
    </w:p>
    <w:p w14:paraId="34ED8705" w14:textId="1F8AC304" w:rsidR="00070F00" w:rsidRDefault="00402C3D" w:rsidP="00070F00">
      <w:pPr>
        <w:pStyle w:val="Listeafsnit"/>
        <w:numPr>
          <w:ilvl w:val="0"/>
          <w:numId w:val="10"/>
        </w:numPr>
        <w:spacing w:line="276" w:lineRule="auto"/>
      </w:pPr>
      <w:r>
        <w:t>Personoplysninger opbevare</w:t>
      </w:r>
      <w:r w:rsidR="00847289">
        <w:t xml:space="preserve">s ikke </w:t>
      </w:r>
      <w:r>
        <w:t xml:space="preserve">længere, end hvad </w:t>
      </w:r>
      <w:r w:rsidR="008F3477">
        <w:t>der er nødvendigt for formålet</w:t>
      </w:r>
      <w:r w:rsidR="00847289">
        <w:t xml:space="preserve"> med behandlingen.</w:t>
      </w:r>
    </w:p>
    <w:p w14:paraId="4DEC9823" w14:textId="3AA1A3C8" w:rsidR="00070F00" w:rsidRDefault="00847289" w:rsidP="00E30E0D">
      <w:pPr>
        <w:pStyle w:val="Listeafsnit"/>
        <w:numPr>
          <w:ilvl w:val="0"/>
          <w:numId w:val="10"/>
        </w:numPr>
        <w:spacing w:line="276" w:lineRule="auto"/>
      </w:pPr>
      <w:r>
        <w:t>Personoplysninger for m</w:t>
      </w:r>
      <w:r w:rsidR="00366DE5">
        <w:t>edarbejder</w:t>
      </w:r>
      <w:r>
        <w:t>e</w:t>
      </w:r>
      <w:r w:rsidR="00366DE5">
        <w:t xml:space="preserve"> slette</w:t>
      </w:r>
      <w:r w:rsidR="008F3477">
        <w:t>s fem år efter endt ansættelse</w:t>
      </w:r>
      <w:r>
        <w:t>, og persono</w:t>
      </w:r>
      <w:r w:rsidR="00F30E69">
        <w:t>plysninger om ansøg</w:t>
      </w:r>
      <w:r w:rsidR="008F3477">
        <w:t>ere slettes efter seks måneder</w:t>
      </w:r>
      <w:r>
        <w:t>.</w:t>
      </w:r>
    </w:p>
    <w:p w14:paraId="2673D516" w14:textId="77777777" w:rsidR="00485EC0" w:rsidRDefault="00485EC0" w:rsidP="00403E48">
      <w:pPr>
        <w:pStyle w:val="Listeafsnit"/>
        <w:spacing w:line="276" w:lineRule="auto"/>
        <w:ind w:left="360"/>
      </w:pPr>
    </w:p>
    <w:p w14:paraId="44C26DF4" w14:textId="77777777" w:rsidR="00586216" w:rsidRDefault="00A255B2" w:rsidP="00875E6E">
      <w:pPr>
        <w:spacing w:line="276" w:lineRule="auto"/>
      </w:pPr>
      <w:r w:rsidRPr="00875E6E">
        <w:rPr>
          <w:b/>
        </w:rPr>
        <w:t>Datas</w:t>
      </w:r>
      <w:r w:rsidR="00586216" w:rsidRPr="00875E6E">
        <w:rPr>
          <w:b/>
        </w:rPr>
        <w:t>ikkerhed</w:t>
      </w:r>
    </w:p>
    <w:p w14:paraId="720115FC" w14:textId="33B1B779" w:rsidR="004D777B" w:rsidRDefault="00E07351" w:rsidP="00E05355">
      <w:pPr>
        <w:spacing w:line="276" w:lineRule="auto"/>
      </w:pPr>
      <w:r>
        <w:t>Institutionen</w:t>
      </w:r>
      <w:r w:rsidR="001941B8">
        <w:t xml:space="preserve"> har </w:t>
      </w:r>
      <w:r w:rsidR="00C0113E">
        <w:t xml:space="preserve">ud fra </w:t>
      </w:r>
      <w:r w:rsidR="002F0270">
        <w:t xml:space="preserve">vedhæftede </w:t>
      </w:r>
      <w:r w:rsidR="00C0113E">
        <w:t xml:space="preserve">risikovurdering </w:t>
      </w:r>
      <w:r w:rsidR="00CC2E2D">
        <w:t xml:space="preserve">gennemført </w:t>
      </w:r>
      <w:r w:rsidR="001941B8">
        <w:t xml:space="preserve">følgende </w:t>
      </w:r>
      <w:r w:rsidR="009B71FF">
        <w:t xml:space="preserve">sikkerhedsforanstaltninger </w:t>
      </w:r>
      <w:r w:rsidR="00847289">
        <w:t>for beskyttelse af person</w:t>
      </w:r>
      <w:r w:rsidR="00E47727">
        <w:t>oplysninger</w:t>
      </w:r>
      <w:r w:rsidR="001941B8">
        <w:t xml:space="preserve">: </w:t>
      </w:r>
    </w:p>
    <w:p w14:paraId="2EB5576A" w14:textId="45C2C465" w:rsidR="00A05DC4" w:rsidRDefault="00A60C24" w:rsidP="00A05DC4">
      <w:pPr>
        <w:pStyle w:val="Listeafsnit"/>
        <w:numPr>
          <w:ilvl w:val="0"/>
          <w:numId w:val="9"/>
        </w:numPr>
        <w:spacing w:line="276" w:lineRule="auto"/>
      </w:pPr>
      <w:r>
        <w:t xml:space="preserve">Kun </w:t>
      </w:r>
      <w:r w:rsidR="00847289">
        <w:t>medarbejdere</w:t>
      </w:r>
      <w:r>
        <w:t xml:space="preserve">, der har </w:t>
      </w:r>
      <w:r w:rsidR="00847289">
        <w:t xml:space="preserve">et arbejdsbetinget </w:t>
      </w:r>
      <w:r>
        <w:t>behov for adgang til</w:t>
      </w:r>
      <w:r w:rsidR="008F3477">
        <w:t xml:space="preserve"> </w:t>
      </w:r>
      <w:r w:rsidR="00847289">
        <w:t xml:space="preserve">de registrerede </w:t>
      </w:r>
      <w:r w:rsidR="008F3477">
        <w:t>personoplysninger, har adgang</w:t>
      </w:r>
      <w:r w:rsidR="00847289">
        <w:t xml:space="preserve"> hertil enten fysisk eller gennem it-systemer med rettighedsstyring.</w:t>
      </w:r>
    </w:p>
    <w:p w14:paraId="7DE74283" w14:textId="08DB8BDD" w:rsidR="00847289" w:rsidRDefault="00847289" w:rsidP="00D74722">
      <w:pPr>
        <w:pStyle w:val="Listeafsnit"/>
        <w:numPr>
          <w:ilvl w:val="0"/>
          <w:numId w:val="9"/>
        </w:numPr>
        <w:spacing w:line="276" w:lineRule="auto"/>
      </w:pPr>
      <w:r>
        <w:t>Alle computere har adgangskode, og medarbejderne må ikke overlade deres adgangskoder</w:t>
      </w:r>
      <w:r w:rsidR="0091025B">
        <w:t xml:space="preserve"> til andre. </w:t>
      </w:r>
    </w:p>
    <w:p w14:paraId="2BEFA6F5" w14:textId="77777777" w:rsidR="00D74722" w:rsidRDefault="00D74722" w:rsidP="00D74722">
      <w:pPr>
        <w:pStyle w:val="Listeafsnit"/>
        <w:numPr>
          <w:ilvl w:val="0"/>
          <w:numId w:val="9"/>
        </w:numPr>
        <w:spacing w:line="276" w:lineRule="auto"/>
      </w:pPr>
      <w:r>
        <w:t>Computere skal have installeret firewall og antivirusprogram, der løbende opdateres.</w:t>
      </w:r>
    </w:p>
    <w:p w14:paraId="50C2F715" w14:textId="17811DD8" w:rsidR="007E29E2" w:rsidRDefault="007E29E2" w:rsidP="00D74722">
      <w:pPr>
        <w:pStyle w:val="Listeafsnit"/>
        <w:numPr>
          <w:ilvl w:val="0"/>
          <w:numId w:val="9"/>
        </w:numPr>
        <w:spacing w:line="276" w:lineRule="auto"/>
      </w:pPr>
      <w:r>
        <w:t>Personoplysninger slettes på forsvarlig vis v</w:t>
      </w:r>
      <w:r w:rsidR="00DF0EA4">
        <w:t>ed udfasning og reparation af it</w:t>
      </w:r>
      <w:r>
        <w:t>-udstyr.</w:t>
      </w:r>
    </w:p>
    <w:p w14:paraId="1D6B5FF9" w14:textId="525B9CD1" w:rsidR="00D74722" w:rsidRDefault="00D74722" w:rsidP="00A05DC4">
      <w:pPr>
        <w:pStyle w:val="Listeafsnit"/>
        <w:numPr>
          <w:ilvl w:val="0"/>
          <w:numId w:val="9"/>
        </w:numPr>
        <w:spacing w:line="276" w:lineRule="auto"/>
      </w:pPr>
      <w:r>
        <w:t xml:space="preserve">USB-nøgler, eksterne harddiske mv. </w:t>
      </w:r>
      <w:r w:rsidR="003B1E58">
        <w:t xml:space="preserve">med personoplysninger </w:t>
      </w:r>
      <w:r>
        <w:t>skal opbevares i aflåst skuffe eller skab.</w:t>
      </w:r>
    </w:p>
    <w:p w14:paraId="73CC4638" w14:textId="7E6F58DC" w:rsidR="007E29E2" w:rsidRDefault="007E29E2" w:rsidP="00A05DC4">
      <w:pPr>
        <w:pStyle w:val="Listeafsnit"/>
        <w:numPr>
          <w:ilvl w:val="0"/>
          <w:numId w:val="9"/>
        </w:numPr>
        <w:spacing w:line="276" w:lineRule="auto"/>
      </w:pPr>
      <w:r>
        <w:t xml:space="preserve">Fysiske mapper er placeret på aflåst kontor eller i aflåste skabe. </w:t>
      </w:r>
    </w:p>
    <w:p w14:paraId="5765FB87" w14:textId="62259787" w:rsidR="007E29E2" w:rsidRDefault="007E29E2" w:rsidP="00A05DC4">
      <w:pPr>
        <w:pStyle w:val="Listeafsnit"/>
        <w:numPr>
          <w:ilvl w:val="0"/>
          <w:numId w:val="9"/>
        </w:numPr>
        <w:spacing w:line="276" w:lineRule="auto"/>
      </w:pPr>
      <w:r>
        <w:t>Personoplysninger i fysiske mapper slettes ved makulering.</w:t>
      </w:r>
    </w:p>
    <w:p w14:paraId="3B4D8CC7" w14:textId="497C192B" w:rsidR="00A05DC4" w:rsidRDefault="00B50280" w:rsidP="00A05DC4">
      <w:pPr>
        <w:pStyle w:val="Listeafsnit"/>
        <w:numPr>
          <w:ilvl w:val="0"/>
          <w:numId w:val="9"/>
        </w:numPr>
        <w:spacing w:line="276" w:lineRule="auto"/>
      </w:pPr>
      <w:r>
        <w:t>Alle medarbejdere</w:t>
      </w:r>
      <w:r w:rsidR="00E05355">
        <w:t xml:space="preserve"> </w:t>
      </w:r>
      <w:r w:rsidR="0060132F">
        <w:t xml:space="preserve">skal modtage </w:t>
      </w:r>
      <w:r>
        <w:t>instruktion i, hvad de må gøre med personoplysninger samt, hvordan pe</w:t>
      </w:r>
      <w:r w:rsidR="008F3477">
        <w:t>rsonoplysninger skal beskyttes</w:t>
      </w:r>
      <w:r w:rsidR="0060132F">
        <w:t>.</w:t>
      </w:r>
    </w:p>
    <w:p w14:paraId="0BC533F5" w14:textId="366D15F9" w:rsidR="009B71FF" w:rsidRDefault="009B71FF" w:rsidP="00F976D7">
      <w:pPr>
        <w:spacing w:line="276" w:lineRule="auto"/>
      </w:pPr>
    </w:p>
    <w:p w14:paraId="0831138D" w14:textId="77777777" w:rsidR="00C711A8" w:rsidRDefault="00C711A8" w:rsidP="00F976D7">
      <w:pPr>
        <w:spacing w:line="276" w:lineRule="auto"/>
        <w:rPr>
          <w:b/>
        </w:rPr>
      </w:pPr>
      <w:r>
        <w:rPr>
          <w:b/>
        </w:rPr>
        <w:t>Videregivelse</w:t>
      </w:r>
    </w:p>
    <w:p w14:paraId="70E77C9E" w14:textId="77777777" w:rsidR="0078777D" w:rsidRPr="00D12208" w:rsidRDefault="00C711A8" w:rsidP="00C711A8">
      <w:pPr>
        <w:spacing w:line="276" w:lineRule="auto"/>
      </w:pPr>
      <w:r>
        <w:t>Personoplysninger om medarbejdere kan blive videregivet til offentlige myndigheder fx SKAT og pensionsselskaber</w:t>
      </w:r>
      <w:r w:rsidR="0078777D">
        <w:t xml:space="preserve"> samt </w:t>
      </w:r>
      <w:r w:rsidR="0078777D" w:rsidRPr="00D12208">
        <w:t>Landsorganisationen Danske Daginstitutioner</w:t>
      </w:r>
      <w:r w:rsidRPr="00D12208">
        <w:t>.</w:t>
      </w:r>
      <w:r w:rsidR="00E637D8" w:rsidRPr="00D12208">
        <w:t xml:space="preserve"> </w:t>
      </w:r>
    </w:p>
    <w:p w14:paraId="5DE3EDBB" w14:textId="7A14F33E" w:rsidR="00C711A8" w:rsidRPr="00D12208" w:rsidRDefault="00E637D8" w:rsidP="00C711A8">
      <w:pPr>
        <w:spacing w:line="276" w:lineRule="auto"/>
      </w:pPr>
      <w:r w:rsidRPr="00D12208">
        <w:t>Personoplysninger</w:t>
      </w:r>
      <w:r w:rsidR="0078777D" w:rsidRPr="00D12208">
        <w:t xml:space="preserve"> på børn</w:t>
      </w:r>
      <w:r w:rsidRPr="00D12208">
        <w:t xml:space="preserve"> bliver dertil videregivet til landsorganisationen Danske Daginstitutioner og tilknyttet kommune i forbindelse med ansøgning om tilskud til institutionen samt eventuelt støtte til et pågældende barn.</w:t>
      </w:r>
    </w:p>
    <w:p w14:paraId="52B7D0DA" w14:textId="77777777" w:rsidR="00C711A8" w:rsidRDefault="00C711A8" w:rsidP="00F976D7">
      <w:pPr>
        <w:spacing w:line="276" w:lineRule="auto"/>
        <w:rPr>
          <w:b/>
        </w:rPr>
      </w:pPr>
    </w:p>
    <w:p w14:paraId="5881AB08" w14:textId="0C2417A6" w:rsidR="00A05DC4" w:rsidRPr="00F976D7" w:rsidRDefault="009B71FF" w:rsidP="00F976D7">
      <w:pPr>
        <w:spacing w:line="276" w:lineRule="auto"/>
        <w:rPr>
          <w:b/>
        </w:rPr>
      </w:pPr>
      <w:r w:rsidRPr="00F976D7">
        <w:rPr>
          <w:b/>
        </w:rPr>
        <w:t>Databehandler</w:t>
      </w:r>
      <w:r w:rsidR="00C711A8">
        <w:rPr>
          <w:b/>
        </w:rPr>
        <w:t>e</w:t>
      </w:r>
    </w:p>
    <w:p w14:paraId="018B30EB" w14:textId="21B7CA33" w:rsidR="001E4A1A" w:rsidRDefault="00E07351" w:rsidP="00F976D7">
      <w:pPr>
        <w:spacing w:line="276" w:lineRule="auto"/>
      </w:pPr>
      <w:r>
        <w:t>Institutionen</w:t>
      </w:r>
      <w:r w:rsidR="00327FC5">
        <w:t xml:space="preserve"> benytter udelukkende </w:t>
      </w:r>
      <w:r w:rsidR="00C43911">
        <w:t>databehandlere</w:t>
      </w:r>
      <w:r w:rsidR="00327FC5">
        <w:t xml:space="preserve">, såfremt databehandlerne stiller de fornødne garantier for, at de vil gennemføre de passende tekniske og organisatoriske sikkerhedsforanstaltninger </w:t>
      </w:r>
      <w:r w:rsidR="0089180F">
        <w:t xml:space="preserve">til opfyldelse af persondatarettens krav. </w:t>
      </w:r>
      <w:r w:rsidR="00F37FAF">
        <w:t xml:space="preserve">Alle databehandlere underskriver en databehandleraftale forinden behandlingen iværksættes. </w:t>
      </w:r>
      <w:bookmarkStart w:id="0" w:name="_GoBack"/>
      <w:bookmarkEnd w:id="0"/>
    </w:p>
    <w:p w14:paraId="62E1734B" w14:textId="77777777" w:rsidR="004B7DB1" w:rsidRPr="00EC78CB" w:rsidRDefault="004B7DB1" w:rsidP="00E05355">
      <w:pPr>
        <w:spacing w:line="276" w:lineRule="auto"/>
      </w:pPr>
    </w:p>
    <w:p w14:paraId="7E10F7C8" w14:textId="4A444FBA" w:rsidR="009849A1" w:rsidRPr="00603BC5" w:rsidRDefault="00603BC5" w:rsidP="003C3030">
      <w:pPr>
        <w:tabs>
          <w:tab w:val="left" w:pos="3750"/>
        </w:tabs>
        <w:spacing w:line="276" w:lineRule="auto"/>
        <w:rPr>
          <w:b/>
        </w:rPr>
      </w:pPr>
      <w:r>
        <w:rPr>
          <w:b/>
        </w:rPr>
        <w:t>Rettigheder</w:t>
      </w:r>
      <w:r w:rsidR="003C3030">
        <w:rPr>
          <w:b/>
        </w:rPr>
        <w:tab/>
      </w:r>
    </w:p>
    <w:p w14:paraId="3CD1355B" w14:textId="35800EA1" w:rsidR="00B70D35" w:rsidRDefault="00E07351" w:rsidP="00E05355">
      <w:pPr>
        <w:spacing w:line="276" w:lineRule="auto"/>
      </w:pPr>
      <w:r>
        <w:t>Institutionen</w:t>
      </w:r>
      <w:r w:rsidR="00BF1FB6">
        <w:t xml:space="preserve"> varetager den registreredes rettigheder</w:t>
      </w:r>
      <w:r w:rsidR="00B70D35">
        <w:t>,</w:t>
      </w:r>
      <w:r w:rsidR="00B128C9">
        <w:t xml:space="preserve"> </w:t>
      </w:r>
      <w:r w:rsidR="0021232B">
        <w:t xml:space="preserve">herunder retten til indsigt, </w:t>
      </w:r>
      <w:r w:rsidR="00DD6DED">
        <w:t xml:space="preserve">tilbagetrækning af samtykke, </w:t>
      </w:r>
      <w:r w:rsidR="00B70D35">
        <w:t>berigtigelse</w:t>
      </w:r>
      <w:r w:rsidR="0021232B">
        <w:t xml:space="preserve"> og sletning</w:t>
      </w:r>
      <w:r w:rsidR="00B70D35">
        <w:t xml:space="preserve"> </w:t>
      </w:r>
      <w:r w:rsidR="00AE2E2E">
        <w:t xml:space="preserve">og orienterer </w:t>
      </w:r>
      <w:r w:rsidR="00A940D1">
        <w:t xml:space="preserve">de </w:t>
      </w:r>
      <w:r w:rsidR="00AE2E2E">
        <w:t xml:space="preserve">registrerede </w:t>
      </w:r>
      <w:r w:rsidR="00195266">
        <w:t xml:space="preserve">om </w:t>
      </w:r>
      <w:r>
        <w:t>institutionen</w:t>
      </w:r>
      <w:r w:rsidR="00195266">
        <w:t>s behandlinger af personoplysninger</w:t>
      </w:r>
      <w:r w:rsidR="00AE2E2E">
        <w:t xml:space="preserve">. </w:t>
      </w:r>
      <w:r w:rsidR="009674E6">
        <w:t xml:space="preserve">Registrerede har ligeledes ret til at klage til Datatilsynet. </w:t>
      </w:r>
    </w:p>
    <w:p w14:paraId="78CC8FD2" w14:textId="77777777" w:rsidR="0066227E" w:rsidRDefault="0066227E" w:rsidP="00BD391D">
      <w:pPr>
        <w:spacing w:line="276" w:lineRule="auto"/>
        <w:rPr>
          <w:b/>
        </w:rPr>
      </w:pPr>
    </w:p>
    <w:p w14:paraId="0E7FCCDF" w14:textId="77777777" w:rsidR="00C06C10" w:rsidRDefault="00D74722" w:rsidP="00BD391D">
      <w:pPr>
        <w:spacing w:line="276" w:lineRule="auto"/>
      </w:pPr>
      <w:r>
        <w:rPr>
          <w:b/>
        </w:rPr>
        <w:t>Brud på persondatasikkerheden</w:t>
      </w:r>
    </w:p>
    <w:p w14:paraId="04DA8B6A" w14:textId="252B3810" w:rsidR="00DF0CD0" w:rsidRDefault="00A87E09" w:rsidP="00BD391D">
      <w:pPr>
        <w:spacing w:line="276" w:lineRule="auto"/>
      </w:pPr>
      <w:r>
        <w:t xml:space="preserve">I tilfælde af brud på persondatasikkerheden, </w:t>
      </w:r>
      <w:r w:rsidR="008D61AA">
        <w:t xml:space="preserve">anmelder </w:t>
      </w:r>
      <w:r w:rsidR="00E07351">
        <w:t>institutionen</w:t>
      </w:r>
      <w:r>
        <w:t xml:space="preserve"> </w:t>
      </w:r>
      <w:r w:rsidR="008D61AA">
        <w:t>hurtigst muligt og inden 72 timer brud</w:t>
      </w:r>
      <w:r>
        <w:t xml:space="preserve">det </w:t>
      </w:r>
      <w:r w:rsidR="008D61AA">
        <w:t>til Datatilsynet</w:t>
      </w:r>
      <w:r w:rsidR="008D61AA" w:rsidRPr="00A160DD">
        <w:t>.</w:t>
      </w:r>
      <w:r w:rsidR="0025100E" w:rsidRPr="00A160DD">
        <w:t xml:space="preserve"> </w:t>
      </w:r>
      <w:r w:rsidR="00E637D8" w:rsidRPr="00A160DD">
        <w:t xml:space="preserve">Institutionslederen </w:t>
      </w:r>
      <w:r>
        <w:t xml:space="preserve">er ansvarlig for, at dette sker. </w:t>
      </w:r>
      <w:r w:rsidR="0009110A">
        <w:t>I anmeldelsen beskrives bruddet, hvilke grupper af personer</w:t>
      </w:r>
      <w:r w:rsidR="00FC5603">
        <w:t>,</w:t>
      </w:r>
      <w:r w:rsidR="0009110A">
        <w:t xml:space="preserve"> det vedrører og</w:t>
      </w:r>
      <w:r w:rsidR="00FC5603">
        <w:t>,</w:t>
      </w:r>
      <w:r w:rsidR="0009110A">
        <w:t xml:space="preserve"> hvilke konsekvenser bruddet kan få for disse personer samt, hvordan </w:t>
      </w:r>
      <w:r w:rsidR="00E07351">
        <w:t>Institutionen</w:t>
      </w:r>
      <w:r w:rsidR="0009110A">
        <w:t xml:space="preserve"> har eller vil afhjælpe bruddet. </w:t>
      </w:r>
      <w:r>
        <w:t xml:space="preserve">I tilfælde, hvor bruddet indebærer en høj risiko for de personer, om hvem </w:t>
      </w:r>
      <w:r w:rsidR="00E07351">
        <w:t>Institutionen</w:t>
      </w:r>
      <w:r>
        <w:t xml:space="preserve"> behandler personoplysninger, vil </w:t>
      </w:r>
      <w:r w:rsidR="00E07351">
        <w:t>Institutionen</w:t>
      </w:r>
      <w:r>
        <w:t xml:space="preserve"> endvidere underrette disse. </w:t>
      </w:r>
      <w:r w:rsidR="00E07351">
        <w:t>Institutionen</w:t>
      </w:r>
      <w:r w:rsidR="003D5C5C">
        <w:t xml:space="preserve">s dokumenterer alle brud på persondatasikkerheden </w:t>
      </w:r>
      <w:r w:rsidR="00A160DD">
        <w:t>på Drev C/Krudthuset/Kontor på institutionens pc.</w:t>
      </w:r>
    </w:p>
    <w:p w14:paraId="593FEB9E" w14:textId="77777777" w:rsidR="003D5C5C" w:rsidRDefault="003D5C5C" w:rsidP="00BD391D">
      <w:pPr>
        <w:spacing w:line="276" w:lineRule="auto"/>
      </w:pPr>
    </w:p>
    <w:p w14:paraId="043EE74A" w14:textId="3201E746" w:rsidR="003D5C5C" w:rsidRDefault="003D5C5C" w:rsidP="00BD391D">
      <w:pPr>
        <w:spacing w:line="276" w:lineRule="auto"/>
      </w:pPr>
    </w:p>
    <w:sectPr w:rsidR="003D5C5C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83D7C" w14:textId="77777777" w:rsidR="00B25F54" w:rsidRDefault="00B25F54" w:rsidP="003C3030">
      <w:pPr>
        <w:spacing w:after="0" w:line="240" w:lineRule="auto"/>
      </w:pPr>
      <w:r>
        <w:separator/>
      </w:r>
    </w:p>
  </w:endnote>
  <w:endnote w:type="continuationSeparator" w:id="0">
    <w:p w14:paraId="68ED35FF" w14:textId="77777777" w:rsidR="00B25F54" w:rsidRDefault="00B25F54" w:rsidP="003C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5708882"/>
      <w:docPartObj>
        <w:docPartGallery w:val="Page Numbers (Bottom of Page)"/>
        <w:docPartUnique/>
      </w:docPartObj>
    </w:sdtPr>
    <w:sdtEndPr/>
    <w:sdtContent>
      <w:p w14:paraId="305CE3BA" w14:textId="67465720" w:rsidR="003C3030" w:rsidRDefault="003C303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0DD">
          <w:rPr>
            <w:noProof/>
          </w:rPr>
          <w:t>2</w:t>
        </w:r>
        <w:r>
          <w:fldChar w:fldCharType="end"/>
        </w:r>
      </w:p>
    </w:sdtContent>
  </w:sdt>
  <w:p w14:paraId="7ECD31A1" w14:textId="77777777" w:rsidR="003C3030" w:rsidRDefault="003C303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7ED55" w14:textId="77777777" w:rsidR="00B25F54" w:rsidRDefault="00B25F54" w:rsidP="003C3030">
      <w:pPr>
        <w:spacing w:after="0" w:line="240" w:lineRule="auto"/>
      </w:pPr>
      <w:r>
        <w:separator/>
      </w:r>
    </w:p>
  </w:footnote>
  <w:footnote w:type="continuationSeparator" w:id="0">
    <w:p w14:paraId="798A88C5" w14:textId="77777777" w:rsidR="00B25F54" w:rsidRDefault="00B25F54" w:rsidP="003C3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1C82"/>
    <w:multiLevelType w:val="hybridMultilevel"/>
    <w:tmpl w:val="D35AC72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68F0"/>
    <w:multiLevelType w:val="hybridMultilevel"/>
    <w:tmpl w:val="BD6E9BDE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A1AEA"/>
    <w:multiLevelType w:val="hybridMultilevel"/>
    <w:tmpl w:val="8132C438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A6786"/>
    <w:multiLevelType w:val="multilevel"/>
    <w:tmpl w:val="A888E3D6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E4A2EAC"/>
    <w:multiLevelType w:val="hybridMultilevel"/>
    <w:tmpl w:val="8B7A2E8C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D27072"/>
    <w:multiLevelType w:val="hybridMultilevel"/>
    <w:tmpl w:val="4434E05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5675"/>
    <w:multiLevelType w:val="hybridMultilevel"/>
    <w:tmpl w:val="3BA6D24A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35F56"/>
    <w:multiLevelType w:val="hybridMultilevel"/>
    <w:tmpl w:val="3CA4E56C"/>
    <w:lvl w:ilvl="0" w:tplc="E534B8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230FA"/>
    <w:multiLevelType w:val="hybridMultilevel"/>
    <w:tmpl w:val="541ABDF8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98487A"/>
    <w:multiLevelType w:val="hybridMultilevel"/>
    <w:tmpl w:val="4E94053A"/>
    <w:lvl w:ilvl="0" w:tplc="3736597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D25"/>
    <w:rsid w:val="00005C1D"/>
    <w:rsid w:val="0000670B"/>
    <w:rsid w:val="00023451"/>
    <w:rsid w:val="00036DAD"/>
    <w:rsid w:val="00036F6F"/>
    <w:rsid w:val="0004526B"/>
    <w:rsid w:val="000655AB"/>
    <w:rsid w:val="000678AC"/>
    <w:rsid w:val="00070F00"/>
    <w:rsid w:val="0009110A"/>
    <w:rsid w:val="000C4555"/>
    <w:rsid w:val="000D02F8"/>
    <w:rsid w:val="00105788"/>
    <w:rsid w:val="0012015B"/>
    <w:rsid w:val="00137B00"/>
    <w:rsid w:val="00141A31"/>
    <w:rsid w:val="001941B8"/>
    <w:rsid w:val="00195266"/>
    <w:rsid w:val="001A02BE"/>
    <w:rsid w:val="001A41CD"/>
    <w:rsid w:val="001E4A1A"/>
    <w:rsid w:val="00211233"/>
    <w:rsid w:val="0021232B"/>
    <w:rsid w:val="002222B6"/>
    <w:rsid w:val="0023192B"/>
    <w:rsid w:val="0025100E"/>
    <w:rsid w:val="00264586"/>
    <w:rsid w:val="0027658D"/>
    <w:rsid w:val="002A0D61"/>
    <w:rsid w:val="002A207E"/>
    <w:rsid w:val="002C2C43"/>
    <w:rsid w:val="002D0F1B"/>
    <w:rsid w:val="002D5BE6"/>
    <w:rsid w:val="002F0270"/>
    <w:rsid w:val="00314ABF"/>
    <w:rsid w:val="00317C73"/>
    <w:rsid w:val="00327FC5"/>
    <w:rsid w:val="00345BBE"/>
    <w:rsid w:val="0035026A"/>
    <w:rsid w:val="00354DC5"/>
    <w:rsid w:val="00366DE5"/>
    <w:rsid w:val="003773BA"/>
    <w:rsid w:val="00381D00"/>
    <w:rsid w:val="003B1E58"/>
    <w:rsid w:val="003B6AB4"/>
    <w:rsid w:val="003C3030"/>
    <w:rsid w:val="003C5A42"/>
    <w:rsid w:val="003D5C5C"/>
    <w:rsid w:val="00402C3D"/>
    <w:rsid w:val="00403E48"/>
    <w:rsid w:val="004169DC"/>
    <w:rsid w:val="004207A9"/>
    <w:rsid w:val="00436CD1"/>
    <w:rsid w:val="0044222F"/>
    <w:rsid w:val="004548AC"/>
    <w:rsid w:val="00456C60"/>
    <w:rsid w:val="00485EC0"/>
    <w:rsid w:val="004A2B76"/>
    <w:rsid w:val="004B36B8"/>
    <w:rsid w:val="004B7DB1"/>
    <w:rsid w:val="004C2E02"/>
    <w:rsid w:val="004D777B"/>
    <w:rsid w:val="005123BE"/>
    <w:rsid w:val="005456E9"/>
    <w:rsid w:val="00583E61"/>
    <w:rsid w:val="00586216"/>
    <w:rsid w:val="005A67DB"/>
    <w:rsid w:val="005B32F3"/>
    <w:rsid w:val="005C0E74"/>
    <w:rsid w:val="005E089B"/>
    <w:rsid w:val="005E704B"/>
    <w:rsid w:val="0060132F"/>
    <w:rsid w:val="00603BC5"/>
    <w:rsid w:val="00632B8C"/>
    <w:rsid w:val="00646A31"/>
    <w:rsid w:val="0066227E"/>
    <w:rsid w:val="00681E8D"/>
    <w:rsid w:val="00684F4B"/>
    <w:rsid w:val="00690199"/>
    <w:rsid w:val="006A6808"/>
    <w:rsid w:val="006C465C"/>
    <w:rsid w:val="006D404D"/>
    <w:rsid w:val="006E0654"/>
    <w:rsid w:val="006F1CCF"/>
    <w:rsid w:val="006F1FB5"/>
    <w:rsid w:val="0070019C"/>
    <w:rsid w:val="00702AFD"/>
    <w:rsid w:val="007108D5"/>
    <w:rsid w:val="007243E8"/>
    <w:rsid w:val="00730E2F"/>
    <w:rsid w:val="00742CA5"/>
    <w:rsid w:val="0078191D"/>
    <w:rsid w:val="0078777D"/>
    <w:rsid w:val="007A6A9C"/>
    <w:rsid w:val="007B7B54"/>
    <w:rsid w:val="007C192C"/>
    <w:rsid w:val="007C1FDB"/>
    <w:rsid w:val="007D6A86"/>
    <w:rsid w:val="007E29E2"/>
    <w:rsid w:val="00827411"/>
    <w:rsid w:val="00830B4B"/>
    <w:rsid w:val="00847289"/>
    <w:rsid w:val="00875E6E"/>
    <w:rsid w:val="0089180F"/>
    <w:rsid w:val="008A5578"/>
    <w:rsid w:val="008C1ED3"/>
    <w:rsid w:val="008D61AA"/>
    <w:rsid w:val="008D6757"/>
    <w:rsid w:val="008E3D25"/>
    <w:rsid w:val="008F3477"/>
    <w:rsid w:val="00902F95"/>
    <w:rsid w:val="00903948"/>
    <w:rsid w:val="0091025B"/>
    <w:rsid w:val="00921201"/>
    <w:rsid w:val="00926D6C"/>
    <w:rsid w:val="00933E9A"/>
    <w:rsid w:val="0096022B"/>
    <w:rsid w:val="009674E6"/>
    <w:rsid w:val="00974517"/>
    <w:rsid w:val="00976383"/>
    <w:rsid w:val="00977212"/>
    <w:rsid w:val="00982967"/>
    <w:rsid w:val="009849A1"/>
    <w:rsid w:val="009B2F31"/>
    <w:rsid w:val="009B71FF"/>
    <w:rsid w:val="009D36F0"/>
    <w:rsid w:val="009F01E9"/>
    <w:rsid w:val="009F1C3F"/>
    <w:rsid w:val="00A01392"/>
    <w:rsid w:val="00A02361"/>
    <w:rsid w:val="00A05DC4"/>
    <w:rsid w:val="00A06DDD"/>
    <w:rsid w:val="00A13736"/>
    <w:rsid w:val="00A152FE"/>
    <w:rsid w:val="00A160DD"/>
    <w:rsid w:val="00A1669B"/>
    <w:rsid w:val="00A255B2"/>
    <w:rsid w:val="00A33C0D"/>
    <w:rsid w:val="00A54EA6"/>
    <w:rsid w:val="00A60C24"/>
    <w:rsid w:val="00A71E06"/>
    <w:rsid w:val="00A87E09"/>
    <w:rsid w:val="00A940D1"/>
    <w:rsid w:val="00AD3410"/>
    <w:rsid w:val="00AE2E2E"/>
    <w:rsid w:val="00B128C9"/>
    <w:rsid w:val="00B25F54"/>
    <w:rsid w:val="00B26522"/>
    <w:rsid w:val="00B3067B"/>
    <w:rsid w:val="00B313EF"/>
    <w:rsid w:val="00B42259"/>
    <w:rsid w:val="00B50280"/>
    <w:rsid w:val="00B70D35"/>
    <w:rsid w:val="00B80F32"/>
    <w:rsid w:val="00B86BD4"/>
    <w:rsid w:val="00BA4A6E"/>
    <w:rsid w:val="00BB3476"/>
    <w:rsid w:val="00BC1DFF"/>
    <w:rsid w:val="00BD1B08"/>
    <w:rsid w:val="00BD391D"/>
    <w:rsid w:val="00BF1FB6"/>
    <w:rsid w:val="00BF4819"/>
    <w:rsid w:val="00C0113E"/>
    <w:rsid w:val="00C06C10"/>
    <w:rsid w:val="00C43911"/>
    <w:rsid w:val="00C578EF"/>
    <w:rsid w:val="00C70DA4"/>
    <w:rsid w:val="00C711A8"/>
    <w:rsid w:val="00C74FCD"/>
    <w:rsid w:val="00C82887"/>
    <w:rsid w:val="00CA60F1"/>
    <w:rsid w:val="00CC2E2D"/>
    <w:rsid w:val="00CC369C"/>
    <w:rsid w:val="00CE6A92"/>
    <w:rsid w:val="00CF1A43"/>
    <w:rsid w:val="00CF3805"/>
    <w:rsid w:val="00D0422E"/>
    <w:rsid w:val="00D12208"/>
    <w:rsid w:val="00D21908"/>
    <w:rsid w:val="00D4602A"/>
    <w:rsid w:val="00D74722"/>
    <w:rsid w:val="00D81FCA"/>
    <w:rsid w:val="00DD6DED"/>
    <w:rsid w:val="00DE1FD3"/>
    <w:rsid w:val="00DE2D09"/>
    <w:rsid w:val="00DF0CD0"/>
    <w:rsid w:val="00DF0EA4"/>
    <w:rsid w:val="00E05355"/>
    <w:rsid w:val="00E07351"/>
    <w:rsid w:val="00E2063B"/>
    <w:rsid w:val="00E235E1"/>
    <w:rsid w:val="00E30E0D"/>
    <w:rsid w:val="00E42AC0"/>
    <w:rsid w:val="00E4702B"/>
    <w:rsid w:val="00E47727"/>
    <w:rsid w:val="00E637D8"/>
    <w:rsid w:val="00E72B35"/>
    <w:rsid w:val="00E9435D"/>
    <w:rsid w:val="00EC78CB"/>
    <w:rsid w:val="00ED1BC8"/>
    <w:rsid w:val="00EF3C0F"/>
    <w:rsid w:val="00F0215D"/>
    <w:rsid w:val="00F11945"/>
    <w:rsid w:val="00F22140"/>
    <w:rsid w:val="00F2339B"/>
    <w:rsid w:val="00F23813"/>
    <w:rsid w:val="00F30D9C"/>
    <w:rsid w:val="00F30E69"/>
    <w:rsid w:val="00F3488A"/>
    <w:rsid w:val="00F37FAF"/>
    <w:rsid w:val="00F43267"/>
    <w:rsid w:val="00F445BB"/>
    <w:rsid w:val="00F465BB"/>
    <w:rsid w:val="00F4753D"/>
    <w:rsid w:val="00F6126D"/>
    <w:rsid w:val="00F976D7"/>
    <w:rsid w:val="00FB5559"/>
    <w:rsid w:val="00FC121A"/>
    <w:rsid w:val="00FC22F5"/>
    <w:rsid w:val="00FC5603"/>
    <w:rsid w:val="00FE0FCF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6C9F"/>
  <w15:chartTrackingRefBased/>
  <w15:docId w15:val="{29980C01-4C8C-461B-9F46-64584D58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5C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21201"/>
    <w:pPr>
      <w:ind w:left="720"/>
      <w:contextualSpacing/>
    </w:pPr>
  </w:style>
  <w:style w:type="table" w:styleId="Tabel-Gitter">
    <w:name w:val="Table Grid"/>
    <w:basedOn w:val="Tabel-Normal"/>
    <w:uiPriority w:val="39"/>
    <w:rsid w:val="00F6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005C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dsholdertekst">
    <w:name w:val="Placeholder Text"/>
    <w:basedOn w:val="Standardskrifttypeiafsnit"/>
    <w:uiPriority w:val="99"/>
    <w:semiHidden/>
    <w:rsid w:val="00DE1FD3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3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3948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30E0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30E0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30E0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0E0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0E0D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E30E0D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3C3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3030"/>
  </w:style>
  <w:style w:type="paragraph" w:styleId="Sidefod">
    <w:name w:val="footer"/>
    <w:basedOn w:val="Normal"/>
    <w:link w:val="SidefodTegn"/>
    <w:uiPriority w:val="99"/>
    <w:unhideWhenUsed/>
    <w:rsid w:val="003C3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2EA6B-BCD2-4A0A-8F66-C7DF90D6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669</Words>
  <Characters>4086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BDO Statsautoriseret revisionsaktieselskab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Leimand</dc:creator>
  <cp:keywords/>
  <dc:description/>
  <cp:lastModifiedBy>Bo Arndt Abrahamsson</cp:lastModifiedBy>
  <cp:revision>14</cp:revision>
  <cp:lastPrinted>2018-03-02T07:26:00Z</cp:lastPrinted>
  <dcterms:created xsi:type="dcterms:W3CDTF">2017-10-16T06:48:00Z</dcterms:created>
  <dcterms:modified xsi:type="dcterms:W3CDTF">2018-03-08T10:49:00Z</dcterms:modified>
</cp:coreProperties>
</file>